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EE5347">
      <w:pPr>
        <w:spacing w:line="520" w:lineRule="exact"/>
        <w:ind w:firstLine="1440"/>
        <w:jc w:val="center"/>
        <w:rPr>
          <w:sz w:val="36"/>
        </w:rPr>
      </w:pPr>
    </w:p>
    <w:p w14:paraId="610E7A33">
      <w:pPr>
        <w:spacing w:line="520" w:lineRule="exact"/>
        <w:jc w:val="center"/>
        <w:rPr>
          <w:rFonts w:hint="eastAsia" w:ascii="方正小标宋简体" w:hAnsi="方正小标宋简体" w:eastAsia="方正小标宋简体" w:cs="方正小标宋简体"/>
          <w:sz w:val="44"/>
        </w:rPr>
      </w:pPr>
      <w:r>
        <w:rPr>
          <w:rFonts w:hint="eastAsia" w:ascii="方正小标宋简体" w:hAnsi="方正小标宋简体" w:eastAsia="方正小标宋简体" w:cs="方正小标宋简体"/>
          <w:sz w:val="44"/>
          <w:lang w:val="en-US" w:eastAsia="zh-CN"/>
        </w:rPr>
        <w:t>大豆品种资源</w:t>
      </w:r>
      <w:r>
        <w:rPr>
          <w:rFonts w:hint="eastAsia" w:ascii="方正小标宋简体" w:hAnsi="方正小标宋简体" w:eastAsia="方正小标宋简体" w:cs="方正小标宋简体"/>
          <w:sz w:val="44"/>
        </w:rPr>
        <w:t>对外</w:t>
      </w:r>
      <w:r>
        <w:rPr>
          <w:rFonts w:hint="eastAsia" w:ascii="方正小标宋简体" w:hAnsi="方正小标宋简体" w:eastAsia="方正小标宋简体" w:cs="方正小标宋简体"/>
          <w:sz w:val="44"/>
          <w:lang w:val="en-US" w:eastAsia="zh-CN"/>
        </w:rPr>
        <w:t>许可(</w:t>
      </w:r>
      <w:r>
        <w:rPr>
          <w:rFonts w:hint="eastAsia" w:ascii="方正小标宋简体" w:hAnsi="方正小标宋简体" w:eastAsia="方正小标宋简体" w:cs="方正小标宋简体"/>
          <w:sz w:val="44"/>
        </w:rPr>
        <w:t>交流</w:t>
      </w:r>
      <w:r>
        <w:rPr>
          <w:rFonts w:hint="eastAsia" w:ascii="方正小标宋简体" w:hAnsi="方正小标宋简体" w:eastAsia="方正小标宋简体" w:cs="方正小标宋简体"/>
          <w:sz w:val="44"/>
          <w:lang w:val="en-US" w:eastAsia="zh-CN"/>
        </w:rPr>
        <w:t>)</w:t>
      </w:r>
      <w:r>
        <w:rPr>
          <w:rFonts w:hint="eastAsia" w:ascii="方正小标宋简体" w:hAnsi="方正小标宋简体" w:eastAsia="方正小标宋简体" w:cs="方正小标宋简体"/>
          <w:sz w:val="44"/>
        </w:rPr>
        <w:t>合同</w:t>
      </w:r>
    </w:p>
    <w:p w14:paraId="3101B0C7">
      <w:pPr>
        <w:spacing w:line="520" w:lineRule="exact"/>
        <w:rPr>
          <w:rFonts w:hint="eastAsia"/>
          <w:sz w:val="24"/>
          <w:szCs w:val="24"/>
        </w:rPr>
      </w:pPr>
    </w:p>
    <w:p w14:paraId="59B63B19">
      <w:pPr>
        <w:spacing w:line="520" w:lineRule="exact"/>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lang w:val="en-US" w:eastAsia="zh-CN"/>
        </w:rPr>
        <w:t>提供方</w:t>
      </w:r>
      <w:r>
        <w:rPr>
          <w:rFonts w:hint="eastAsia" w:ascii="仿宋_GB2312" w:hAnsi="仿宋_GB2312" w:eastAsia="仿宋_GB2312" w:cs="仿宋_GB2312"/>
          <w:sz w:val="32"/>
          <w:szCs w:val="32"/>
        </w:rPr>
        <w:t>（甲方）：</w:t>
      </w:r>
      <w:r>
        <w:rPr>
          <w:rFonts w:hint="eastAsia" w:ascii="仿宋_GB2312" w:hAnsi="仿宋_GB2312" w:eastAsia="仿宋_GB2312" w:cs="仿宋_GB2312"/>
          <w:sz w:val="32"/>
          <w:szCs w:val="32"/>
          <w:u w:val="single"/>
        </w:rPr>
        <w:t xml:space="preserve">   崖州湾国家实验室                          </w:t>
      </w:r>
    </w:p>
    <w:p w14:paraId="67478260">
      <w:pPr>
        <w:spacing w:line="520" w:lineRule="exact"/>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住  所  地：</w:t>
      </w:r>
      <w:r>
        <w:rPr>
          <w:rFonts w:hint="eastAsia" w:ascii="仿宋_GB2312" w:hAnsi="仿宋_GB2312" w:eastAsia="仿宋_GB2312" w:cs="仿宋_GB2312"/>
          <w:sz w:val="32"/>
          <w:szCs w:val="32"/>
          <w:u w:val="single"/>
        </w:rPr>
        <w:t xml:space="preserve">    海南省三亚市崖州区还金路8号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 xml:space="preserve">           </w:t>
      </w:r>
    </w:p>
    <w:p w14:paraId="6E32F6E7">
      <w:pPr>
        <w:spacing w:line="520" w:lineRule="exact"/>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法定代表人：</w:t>
      </w:r>
      <w:r>
        <w:rPr>
          <w:rFonts w:hint="eastAsia" w:ascii="仿宋_GB2312" w:hAnsi="仿宋_GB2312" w:eastAsia="仿宋_GB2312" w:cs="仿宋_GB2312"/>
          <w:sz w:val="32"/>
          <w:szCs w:val="32"/>
          <w:u w:val="single"/>
        </w:rPr>
        <w:t xml:space="preserve">      李家洋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 xml:space="preserve">            </w:t>
      </w:r>
    </w:p>
    <w:p w14:paraId="1312B3D8">
      <w:pPr>
        <w:tabs>
          <w:tab w:val="left" w:pos="1050"/>
        </w:tabs>
        <w:spacing w:line="520" w:lineRule="exact"/>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项目联系人：</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 xml:space="preserve">     </w:t>
      </w:r>
    </w:p>
    <w:p w14:paraId="3594FC01">
      <w:pPr>
        <w:tabs>
          <w:tab w:val="left" w:pos="7740"/>
        </w:tabs>
        <w:spacing w:line="520" w:lineRule="exact"/>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rPr>
        <w:t>联系方式：</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w:t>
      </w:r>
    </w:p>
    <w:p w14:paraId="2CEEFB91">
      <w:pPr>
        <w:tabs>
          <w:tab w:val="left" w:pos="7740"/>
        </w:tabs>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电子信箱：</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 xml:space="preserve">                            </w:t>
      </w:r>
    </w:p>
    <w:p w14:paraId="7A79E735">
      <w:pPr>
        <w:tabs>
          <w:tab w:val="left" w:pos="7740"/>
        </w:tabs>
        <w:spacing w:line="520" w:lineRule="exact"/>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邮政编码：</w:t>
      </w:r>
      <w:r>
        <w:rPr>
          <w:rFonts w:hint="eastAsia" w:ascii="仿宋_GB2312" w:hAnsi="仿宋_GB2312" w:eastAsia="仿宋_GB2312" w:cs="仿宋_GB2312"/>
          <w:sz w:val="32"/>
          <w:szCs w:val="32"/>
          <w:u w:val="single"/>
        </w:rPr>
        <w:t xml:space="preserve">      572025                                     </w:t>
      </w:r>
    </w:p>
    <w:p w14:paraId="6ADB3BF3">
      <w:pPr>
        <w:tabs>
          <w:tab w:val="left" w:pos="8100"/>
        </w:tabs>
        <w:spacing w:line="520" w:lineRule="exact"/>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通讯地址：</w:t>
      </w:r>
      <w:r>
        <w:rPr>
          <w:rFonts w:hint="eastAsia" w:ascii="仿宋_GB2312" w:hAnsi="仿宋_GB2312" w:eastAsia="仿宋_GB2312" w:cs="仿宋_GB2312"/>
          <w:sz w:val="32"/>
          <w:szCs w:val="32"/>
          <w:u w:val="single"/>
        </w:rPr>
        <w:t xml:space="preserve">     海南省三亚市崖州区还金路8号                </w:t>
      </w:r>
    </w:p>
    <w:p w14:paraId="2C31B72E">
      <w:pPr>
        <w:spacing w:line="520" w:lineRule="exact"/>
        <w:rPr>
          <w:rFonts w:hint="eastAsia" w:ascii="仿宋_GB2312" w:hAnsi="仿宋_GB2312" w:eastAsia="仿宋_GB2312" w:cs="仿宋_GB2312"/>
          <w:sz w:val="32"/>
          <w:szCs w:val="32"/>
        </w:rPr>
      </w:pPr>
    </w:p>
    <w:p w14:paraId="2372DE8F">
      <w:pPr>
        <w:spacing w:line="520" w:lineRule="exact"/>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lang w:val="en-US" w:eastAsia="zh-CN"/>
        </w:rPr>
        <w:t>接收方</w:t>
      </w:r>
      <w:r>
        <w:rPr>
          <w:rFonts w:hint="eastAsia" w:ascii="仿宋_GB2312" w:hAnsi="仿宋_GB2312" w:eastAsia="仿宋_GB2312" w:cs="仿宋_GB2312"/>
          <w:sz w:val="32"/>
          <w:szCs w:val="32"/>
        </w:rPr>
        <w:t>（乙方）：</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 xml:space="preserve">           </w:t>
      </w:r>
    </w:p>
    <w:p w14:paraId="5AE0A57D">
      <w:pPr>
        <w:spacing w:line="520" w:lineRule="exact"/>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 xml:space="preserve">住  所  地： </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 xml:space="preserve">           </w:t>
      </w:r>
    </w:p>
    <w:p w14:paraId="13F64C26">
      <w:pPr>
        <w:spacing w:line="520" w:lineRule="exact"/>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法定代表人：</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 xml:space="preserve">                             </w:t>
      </w:r>
    </w:p>
    <w:p w14:paraId="13DB0F89">
      <w:pPr>
        <w:spacing w:line="520" w:lineRule="exact"/>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项目联系人：</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 xml:space="preserve">                              </w:t>
      </w:r>
    </w:p>
    <w:p w14:paraId="7622614B">
      <w:pPr>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联系方式： </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 xml:space="preserve">                        </w:t>
      </w:r>
    </w:p>
    <w:p w14:paraId="6D5EF31C">
      <w:pPr>
        <w:spacing w:line="520" w:lineRule="exact"/>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rPr>
        <w:t>电子信箱：</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w:t>
      </w:r>
    </w:p>
    <w:p w14:paraId="71579DAB">
      <w:pPr>
        <w:tabs>
          <w:tab w:val="left" w:pos="8100"/>
        </w:tabs>
        <w:spacing w:line="520" w:lineRule="exact"/>
        <w:rPr>
          <w:rFonts w:hint="default" w:eastAsia="宋体"/>
          <w:sz w:val="32"/>
          <w:szCs w:val="32"/>
          <w:u w:val="none"/>
          <w:lang w:val="en-US" w:eastAsia="zh-CN"/>
        </w:rPr>
      </w:pPr>
      <w:r>
        <w:rPr>
          <w:rFonts w:hint="eastAsia" w:ascii="仿宋_GB2312" w:hAnsi="仿宋_GB2312" w:eastAsia="仿宋_GB2312" w:cs="仿宋_GB2312"/>
          <w:sz w:val="32"/>
          <w:szCs w:val="32"/>
        </w:rPr>
        <w:t>通讯地址：</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w:t>
      </w:r>
      <w:r>
        <w:rPr>
          <w:rFonts w:hint="eastAsia"/>
          <w:sz w:val="32"/>
          <w:szCs w:val="32"/>
          <w:u w:val="single"/>
          <w:lang w:val="en-US" w:eastAsia="zh-CN"/>
        </w:rPr>
        <w:t xml:space="preserve">       </w:t>
      </w:r>
    </w:p>
    <w:p w14:paraId="4059CEDB">
      <w:pPr>
        <w:spacing w:line="520" w:lineRule="exact"/>
        <w:ind w:firstLine="960"/>
        <w:rPr>
          <w:sz w:val="24"/>
          <w:szCs w:val="24"/>
        </w:rPr>
      </w:pPr>
    </w:p>
    <w:p w14:paraId="68086C13">
      <w:pPr>
        <w:spacing w:line="540" w:lineRule="exact"/>
        <w:rPr>
          <w:rFonts w:hint="eastAsia" w:ascii="仿宋_GB2312" w:hAnsi="仿宋_GB2312" w:eastAsia="仿宋_GB2312" w:cs="仿宋_GB2312"/>
          <w:sz w:val="32"/>
          <w:szCs w:val="32"/>
          <w:u w:val="single"/>
        </w:rPr>
      </w:pPr>
    </w:p>
    <w:p w14:paraId="3840F63E">
      <w:pPr>
        <w:snapToGrid w:val="0"/>
        <w:spacing w:line="54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为了充分利用</w:t>
      </w:r>
      <w:r>
        <w:rPr>
          <w:rFonts w:hint="eastAsia" w:ascii="仿宋_GB2312" w:hAnsi="仿宋_GB2312" w:eastAsia="仿宋_GB2312" w:cs="仿宋_GB2312"/>
          <w:sz w:val="30"/>
          <w:szCs w:val="30"/>
          <w:lang w:val="en-US" w:eastAsia="zh-CN"/>
        </w:rPr>
        <w:t>大豆</w:t>
      </w:r>
      <w:r>
        <w:rPr>
          <w:rFonts w:hint="eastAsia" w:ascii="仿宋_GB2312" w:hAnsi="仿宋_GB2312" w:eastAsia="仿宋_GB2312" w:cs="仿宋_GB2312"/>
          <w:sz w:val="30"/>
          <w:szCs w:val="30"/>
        </w:rPr>
        <w:t>种质资源，促进</w:t>
      </w:r>
      <w:r>
        <w:rPr>
          <w:rFonts w:hint="eastAsia" w:ascii="仿宋_GB2312" w:hAnsi="仿宋_GB2312" w:eastAsia="仿宋_GB2312" w:cs="仿宋_GB2312"/>
          <w:sz w:val="30"/>
          <w:szCs w:val="30"/>
          <w:lang w:val="en-US" w:eastAsia="zh-CN"/>
        </w:rPr>
        <w:t>育种创新与</w:t>
      </w:r>
      <w:r>
        <w:rPr>
          <w:rFonts w:hint="eastAsia" w:ascii="仿宋_GB2312" w:hAnsi="仿宋_GB2312" w:eastAsia="仿宋_GB2312" w:cs="仿宋_GB2312"/>
          <w:sz w:val="30"/>
          <w:szCs w:val="30"/>
        </w:rPr>
        <w:t>产业发展，甲方免费提供</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u w:val="none"/>
          <w:lang w:val="en-US" w:eastAsia="zh-CN"/>
        </w:rPr>
        <w:t>份品种资源（详见下表）</w:t>
      </w:r>
      <w:r>
        <w:rPr>
          <w:rFonts w:hint="eastAsia" w:ascii="仿宋_GB2312" w:hAnsi="仿宋_GB2312" w:eastAsia="仿宋_GB2312" w:cs="仿宋_GB2312"/>
          <w:sz w:val="30"/>
          <w:szCs w:val="30"/>
        </w:rPr>
        <w:t>给乙方</w:t>
      </w:r>
      <w:r>
        <w:rPr>
          <w:rFonts w:hint="eastAsia" w:ascii="仿宋_GB2312" w:hAnsi="仿宋_GB2312" w:eastAsia="仿宋_GB2312" w:cs="仿宋_GB2312"/>
          <w:sz w:val="30"/>
          <w:szCs w:val="30"/>
          <w:lang w:val="en-US" w:eastAsia="zh-CN"/>
        </w:rPr>
        <w:t>用于非产业化开发的</w:t>
      </w:r>
      <w:bookmarkStart w:id="0" w:name="_GoBack"/>
      <w:bookmarkEnd w:id="0"/>
      <w:r>
        <w:rPr>
          <w:rFonts w:hint="eastAsia" w:ascii="仿宋_GB2312" w:hAnsi="仿宋_GB2312" w:eastAsia="仿宋_GB2312" w:cs="仿宋_GB2312"/>
          <w:sz w:val="30"/>
          <w:szCs w:val="30"/>
          <w:u w:val="single"/>
          <w:lang w:val="en-US" w:eastAsia="zh-CN"/>
        </w:rPr>
        <w:t xml:space="preserve"> (基础创新/品种选育/其他）</w:t>
      </w:r>
      <w:r>
        <w:rPr>
          <w:rFonts w:hint="eastAsia" w:ascii="仿宋_GB2312" w:hAnsi="仿宋_GB2312" w:eastAsia="仿宋_GB2312" w:cs="仿宋_GB2312"/>
          <w:sz w:val="30"/>
          <w:szCs w:val="30"/>
        </w:rPr>
        <w:t>。双方经过平等协商，在真实、充分地表达各自意愿的基础上，根据《中华人民共和国民法典》的规定，达成如下协议，并由双方共同恪守。</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3"/>
        <w:gridCol w:w="1351"/>
        <w:gridCol w:w="2209"/>
        <w:gridCol w:w="2491"/>
        <w:gridCol w:w="1504"/>
      </w:tblGrid>
      <w:tr w14:paraId="461D3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vAlign w:val="center"/>
          </w:tcPr>
          <w:p w14:paraId="552E1FA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序号</w:t>
            </w:r>
          </w:p>
        </w:tc>
        <w:tc>
          <w:tcPr>
            <w:tcW w:w="1351" w:type="dxa"/>
            <w:shd w:val="clear" w:color="auto" w:fill="auto"/>
            <w:vAlign w:val="center"/>
          </w:tcPr>
          <w:p w14:paraId="0C8459B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b/>
                <w:bCs/>
                <w:kern w:val="2"/>
                <w:sz w:val="24"/>
                <w:szCs w:val="24"/>
                <w:vertAlign w:val="baseline"/>
                <w:lang w:val="en-US" w:eastAsia="zh-CN" w:bidi="ar-SA"/>
              </w:rPr>
            </w:pPr>
            <w:r>
              <w:rPr>
                <w:rFonts w:hint="eastAsia" w:ascii="仿宋_GB2312" w:hAnsi="仿宋_GB2312" w:eastAsia="仿宋_GB2312" w:cs="仿宋_GB2312"/>
                <w:b/>
                <w:bCs/>
                <w:sz w:val="24"/>
                <w:szCs w:val="24"/>
                <w:vertAlign w:val="baseline"/>
                <w:lang w:val="en-US" w:eastAsia="zh-CN"/>
              </w:rPr>
              <w:t>名称</w:t>
            </w:r>
          </w:p>
        </w:tc>
        <w:tc>
          <w:tcPr>
            <w:tcW w:w="2209" w:type="dxa"/>
            <w:shd w:val="clear" w:color="auto" w:fill="auto"/>
            <w:vAlign w:val="center"/>
          </w:tcPr>
          <w:p w14:paraId="36697E4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b/>
                <w:bCs/>
                <w:kern w:val="2"/>
                <w:sz w:val="24"/>
                <w:szCs w:val="24"/>
                <w:vertAlign w:val="baseline"/>
                <w:lang w:val="en-US" w:eastAsia="zh-CN" w:bidi="ar-SA"/>
              </w:rPr>
            </w:pPr>
            <w:r>
              <w:rPr>
                <w:rFonts w:hint="eastAsia" w:ascii="仿宋_GB2312" w:hAnsi="仿宋_GB2312" w:eastAsia="仿宋_GB2312" w:cs="仿宋_GB2312"/>
                <w:b/>
                <w:bCs/>
                <w:sz w:val="24"/>
                <w:szCs w:val="24"/>
                <w:vertAlign w:val="baseline"/>
                <w:lang w:val="en-US" w:eastAsia="zh-CN"/>
              </w:rPr>
              <w:t>植物新品种权号（或申请号）</w:t>
            </w:r>
          </w:p>
        </w:tc>
        <w:tc>
          <w:tcPr>
            <w:tcW w:w="2491" w:type="dxa"/>
            <w:shd w:val="clear" w:color="auto" w:fill="auto"/>
            <w:vAlign w:val="center"/>
          </w:tcPr>
          <w:p w14:paraId="161C995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bCs/>
                <w:kern w:val="2"/>
                <w:sz w:val="24"/>
                <w:szCs w:val="24"/>
                <w:vertAlign w:val="baseline"/>
                <w:lang w:val="en-US" w:eastAsia="zh-CN" w:bidi="ar-SA"/>
              </w:rPr>
            </w:pPr>
            <w:r>
              <w:rPr>
                <w:rFonts w:hint="eastAsia" w:ascii="仿宋_GB2312" w:hAnsi="仿宋_GB2312" w:eastAsia="仿宋_GB2312" w:cs="仿宋_GB2312"/>
                <w:b/>
                <w:bCs/>
                <w:sz w:val="24"/>
                <w:szCs w:val="24"/>
                <w:vertAlign w:val="baseline"/>
                <w:lang w:val="en-US" w:eastAsia="zh-CN"/>
              </w:rPr>
              <w:t>许可（交流）用途</w:t>
            </w:r>
          </w:p>
        </w:tc>
        <w:tc>
          <w:tcPr>
            <w:tcW w:w="1504" w:type="dxa"/>
            <w:shd w:val="clear" w:color="auto" w:fill="auto"/>
            <w:vAlign w:val="center"/>
          </w:tcPr>
          <w:p w14:paraId="7C4675E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种子量</w:t>
            </w:r>
          </w:p>
          <w:p w14:paraId="0283A02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（粒/克）</w:t>
            </w:r>
          </w:p>
        </w:tc>
      </w:tr>
      <w:tr w14:paraId="30BBF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vAlign w:val="center"/>
          </w:tcPr>
          <w:p w14:paraId="563C65EB">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b/>
                <w:bCs/>
                <w:sz w:val="30"/>
                <w:szCs w:val="30"/>
                <w:vertAlign w:val="baseline"/>
                <w:lang w:val="en-US" w:eastAsia="zh-CN"/>
              </w:rPr>
            </w:pPr>
          </w:p>
        </w:tc>
        <w:tc>
          <w:tcPr>
            <w:tcW w:w="1351" w:type="dxa"/>
            <w:vAlign w:val="center"/>
          </w:tcPr>
          <w:p w14:paraId="5F6E9E87">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b/>
                <w:bCs/>
                <w:sz w:val="30"/>
                <w:szCs w:val="30"/>
                <w:vertAlign w:val="baseline"/>
                <w:lang w:val="en-US" w:eastAsia="zh-CN"/>
              </w:rPr>
            </w:pPr>
          </w:p>
        </w:tc>
        <w:tc>
          <w:tcPr>
            <w:tcW w:w="2209" w:type="dxa"/>
            <w:vAlign w:val="center"/>
          </w:tcPr>
          <w:p w14:paraId="08AE6DA3">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b/>
                <w:bCs/>
                <w:sz w:val="30"/>
                <w:szCs w:val="30"/>
                <w:vertAlign w:val="baseline"/>
                <w:lang w:val="en-US" w:eastAsia="zh-CN"/>
              </w:rPr>
            </w:pPr>
          </w:p>
        </w:tc>
        <w:tc>
          <w:tcPr>
            <w:tcW w:w="2491" w:type="dxa"/>
            <w:vAlign w:val="center"/>
          </w:tcPr>
          <w:p w14:paraId="7EC30ED5">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b/>
                <w:bCs/>
                <w:sz w:val="30"/>
                <w:szCs w:val="30"/>
                <w:vertAlign w:val="baseline"/>
                <w:lang w:val="en-US" w:eastAsia="zh-CN"/>
              </w:rPr>
            </w:pPr>
          </w:p>
        </w:tc>
        <w:tc>
          <w:tcPr>
            <w:tcW w:w="1504" w:type="dxa"/>
            <w:vAlign w:val="center"/>
          </w:tcPr>
          <w:p w14:paraId="4DBDE938">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b/>
                <w:bCs/>
                <w:sz w:val="30"/>
                <w:szCs w:val="30"/>
                <w:vertAlign w:val="baseline"/>
                <w:lang w:val="en-US" w:eastAsia="zh-CN"/>
              </w:rPr>
            </w:pPr>
          </w:p>
        </w:tc>
      </w:tr>
      <w:tr w14:paraId="48F04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vAlign w:val="center"/>
          </w:tcPr>
          <w:p w14:paraId="6645BA9A">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b/>
                <w:bCs/>
                <w:sz w:val="30"/>
                <w:szCs w:val="30"/>
                <w:vertAlign w:val="baseline"/>
                <w:lang w:val="en-US" w:eastAsia="zh-CN"/>
              </w:rPr>
            </w:pPr>
          </w:p>
        </w:tc>
        <w:tc>
          <w:tcPr>
            <w:tcW w:w="1351" w:type="dxa"/>
            <w:vAlign w:val="center"/>
          </w:tcPr>
          <w:p w14:paraId="3F2E31ED">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b/>
                <w:bCs/>
                <w:sz w:val="30"/>
                <w:szCs w:val="30"/>
                <w:vertAlign w:val="baseline"/>
                <w:lang w:val="en-US" w:eastAsia="zh-CN"/>
              </w:rPr>
            </w:pPr>
          </w:p>
        </w:tc>
        <w:tc>
          <w:tcPr>
            <w:tcW w:w="2209" w:type="dxa"/>
            <w:vAlign w:val="center"/>
          </w:tcPr>
          <w:p w14:paraId="63379F79">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b/>
                <w:bCs/>
                <w:sz w:val="30"/>
                <w:szCs w:val="30"/>
                <w:vertAlign w:val="baseline"/>
                <w:lang w:val="en-US" w:eastAsia="zh-CN"/>
              </w:rPr>
            </w:pPr>
          </w:p>
        </w:tc>
        <w:tc>
          <w:tcPr>
            <w:tcW w:w="2491" w:type="dxa"/>
            <w:vAlign w:val="center"/>
          </w:tcPr>
          <w:p w14:paraId="441D86AC">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b/>
                <w:bCs/>
                <w:sz w:val="30"/>
                <w:szCs w:val="30"/>
                <w:vertAlign w:val="baseline"/>
                <w:lang w:val="en-US" w:eastAsia="zh-CN"/>
              </w:rPr>
            </w:pPr>
          </w:p>
        </w:tc>
        <w:tc>
          <w:tcPr>
            <w:tcW w:w="1504" w:type="dxa"/>
            <w:vAlign w:val="center"/>
          </w:tcPr>
          <w:p w14:paraId="36263B60">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b/>
                <w:bCs/>
                <w:sz w:val="30"/>
                <w:szCs w:val="30"/>
                <w:vertAlign w:val="baseline"/>
                <w:lang w:val="en-US" w:eastAsia="zh-CN"/>
              </w:rPr>
            </w:pPr>
          </w:p>
        </w:tc>
      </w:tr>
      <w:tr w14:paraId="239B4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vAlign w:val="center"/>
          </w:tcPr>
          <w:p w14:paraId="24C7B2B9">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b/>
                <w:bCs/>
                <w:sz w:val="30"/>
                <w:szCs w:val="30"/>
                <w:vertAlign w:val="baseline"/>
                <w:lang w:val="en-US" w:eastAsia="zh-CN"/>
              </w:rPr>
            </w:pPr>
          </w:p>
        </w:tc>
        <w:tc>
          <w:tcPr>
            <w:tcW w:w="1351" w:type="dxa"/>
            <w:vAlign w:val="center"/>
          </w:tcPr>
          <w:p w14:paraId="4CD9A05B">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b/>
                <w:bCs/>
                <w:sz w:val="30"/>
                <w:szCs w:val="30"/>
                <w:vertAlign w:val="baseline"/>
                <w:lang w:val="en-US" w:eastAsia="zh-CN"/>
              </w:rPr>
            </w:pPr>
          </w:p>
        </w:tc>
        <w:tc>
          <w:tcPr>
            <w:tcW w:w="2209" w:type="dxa"/>
            <w:vAlign w:val="center"/>
          </w:tcPr>
          <w:p w14:paraId="630F5419">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b/>
                <w:bCs/>
                <w:sz w:val="30"/>
                <w:szCs w:val="30"/>
                <w:vertAlign w:val="baseline"/>
                <w:lang w:val="en-US" w:eastAsia="zh-CN"/>
              </w:rPr>
            </w:pPr>
          </w:p>
        </w:tc>
        <w:tc>
          <w:tcPr>
            <w:tcW w:w="2491" w:type="dxa"/>
            <w:vAlign w:val="center"/>
          </w:tcPr>
          <w:p w14:paraId="3C7A7A43">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b/>
                <w:bCs/>
                <w:sz w:val="30"/>
                <w:szCs w:val="30"/>
                <w:vertAlign w:val="baseline"/>
                <w:lang w:val="en-US" w:eastAsia="zh-CN"/>
              </w:rPr>
            </w:pPr>
          </w:p>
        </w:tc>
        <w:tc>
          <w:tcPr>
            <w:tcW w:w="1504" w:type="dxa"/>
            <w:vAlign w:val="center"/>
          </w:tcPr>
          <w:p w14:paraId="31C3C8B8">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b/>
                <w:bCs/>
                <w:sz w:val="30"/>
                <w:szCs w:val="30"/>
                <w:vertAlign w:val="baseline"/>
                <w:lang w:val="en-US" w:eastAsia="zh-CN"/>
              </w:rPr>
            </w:pPr>
          </w:p>
        </w:tc>
      </w:tr>
      <w:tr w14:paraId="2885C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vAlign w:val="center"/>
          </w:tcPr>
          <w:p w14:paraId="6AA8EE3D">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b/>
                <w:bCs/>
                <w:sz w:val="30"/>
                <w:szCs w:val="30"/>
                <w:vertAlign w:val="baseline"/>
                <w:lang w:val="en-US" w:eastAsia="zh-CN"/>
              </w:rPr>
            </w:pPr>
          </w:p>
        </w:tc>
        <w:tc>
          <w:tcPr>
            <w:tcW w:w="1351" w:type="dxa"/>
            <w:vAlign w:val="center"/>
          </w:tcPr>
          <w:p w14:paraId="043EE0D4">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b/>
                <w:bCs/>
                <w:sz w:val="30"/>
                <w:szCs w:val="30"/>
                <w:vertAlign w:val="baseline"/>
                <w:lang w:val="en-US" w:eastAsia="zh-CN"/>
              </w:rPr>
            </w:pPr>
          </w:p>
        </w:tc>
        <w:tc>
          <w:tcPr>
            <w:tcW w:w="2209" w:type="dxa"/>
            <w:vAlign w:val="center"/>
          </w:tcPr>
          <w:p w14:paraId="5A339F8A">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b/>
                <w:bCs/>
                <w:sz w:val="30"/>
                <w:szCs w:val="30"/>
                <w:vertAlign w:val="baseline"/>
                <w:lang w:val="en-US" w:eastAsia="zh-CN"/>
              </w:rPr>
            </w:pPr>
          </w:p>
        </w:tc>
        <w:tc>
          <w:tcPr>
            <w:tcW w:w="2491" w:type="dxa"/>
            <w:vAlign w:val="center"/>
          </w:tcPr>
          <w:p w14:paraId="1F6AFB4A">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b/>
                <w:bCs/>
                <w:sz w:val="30"/>
                <w:szCs w:val="30"/>
                <w:vertAlign w:val="baseline"/>
                <w:lang w:val="en-US" w:eastAsia="zh-CN"/>
              </w:rPr>
            </w:pPr>
          </w:p>
        </w:tc>
        <w:tc>
          <w:tcPr>
            <w:tcW w:w="1504" w:type="dxa"/>
            <w:vAlign w:val="center"/>
          </w:tcPr>
          <w:p w14:paraId="4A2CAEEE">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b/>
                <w:bCs/>
                <w:sz w:val="30"/>
                <w:szCs w:val="30"/>
                <w:vertAlign w:val="baseline"/>
                <w:lang w:val="en-US" w:eastAsia="zh-CN"/>
              </w:rPr>
            </w:pPr>
          </w:p>
        </w:tc>
      </w:tr>
    </w:tbl>
    <w:p w14:paraId="4C9186DA">
      <w:pPr>
        <w:keepNext w:val="0"/>
        <w:keepLines w:val="0"/>
        <w:pageBreakBefore w:val="0"/>
        <w:widowControl w:val="0"/>
        <w:kinsoku/>
        <w:wordWrap/>
        <w:overflowPunct/>
        <w:topLinePunct w:val="0"/>
        <w:autoSpaceDE/>
        <w:autoSpaceDN/>
        <w:bidi w:val="0"/>
        <w:adjustRightInd/>
        <w:snapToGrid/>
        <w:spacing w:line="240" w:lineRule="auto"/>
        <w:ind w:firstLine="602"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b/>
          <w:bCs/>
          <w:sz w:val="30"/>
          <w:szCs w:val="30"/>
          <w:lang w:val="en-US" w:eastAsia="zh-CN"/>
        </w:rPr>
        <w:t>第一条</w:t>
      </w:r>
      <w:r>
        <w:rPr>
          <w:rFonts w:hint="eastAsia" w:ascii="仿宋_GB2312" w:hAnsi="仿宋_GB2312" w:eastAsia="仿宋_GB2312" w:cs="仿宋_GB2312"/>
          <w:sz w:val="30"/>
          <w:szCs w:val="30"/>
          <w:lang w:val="en-US" w:eastAsia="zh-CN"/>
        </w:rPr>
        <w:t xml:space="preserve"> </w:t>
      </w:r>
      <w:r>
        <w:rPr>
          <w:rFonts w:hint="eastAsia" w:ascii="仿宋_GB2312" w:hAnsi="仿宋_GB2312" w:eastAsia="仿宋_GB2312" w:cs="仿宋_GB2312"/>
          <w:sz w:val="30"/>
          <w:szCs w:val="30"/>
        </w:rPr>
        <w:t>甲方保证所提供的品种</w:t>
      </w:r>
      <w:r>
        <w:rPr>
          <w:rFonts w:hint="eastAsia" w:ascii="仿宋_GB2312" w:hAnsi="仿宋_GB2312" w:eastAsia="仿宋_GB2312" w:cs="仿宋_GB2312"/>
          <w:sz w:val="30"/>
          <w:szCs w:val="30"/>
          <w:lang w:val="en-US" w:eastAsia="zh-CN"/>
        </w:rPr>
        <w:t>资源</w:t>
      </w:r>
      <w:r>
        <w:rPr>
          <w:rFonts w:hint="eastAsia" w:ascii="仿宋_GB2312" w:hAnsi="仿宋_GB2312" w:eastAsia="仿宋_GB2312" w:cs="仿宋_GB2312"/>
          <w:sz w:val="30"/>
          <w:szCs w:val="30"/>
        </w:rPr>
        <w:t>具有正式名称，</w:t>
      </w:r>
      <w:r>
        <w:rPr>
          <w:rFonts w:hint="eastAsia" w:ascii="仿宋_GB2312" w:hAnsi="仿宋_GB2312" w:eastAsia="仿宋_GB2312" w:cs="仿宋_GB2312"/>
          <w:sz w:val="30"/>
          <w:szCs w:val="30"/>
          <w:lang w:val="en-US" w:eastAsia="zh-CN"/>
        </w:rPr>
        <w:t>并</w:t>
      </w:r>
      <w:r>
        <w:rPr>
          <w:rFonts w:hint="eastAsia" w:ascii="仿宋_GB2312" w:hAnsi="仿宋_GB2312" w:eastAsia="仿宋_GB2312" w:cs="仿宋_GB2312"/>
          <w:sz w:val="30"/>
          <w:szCs w:val="30"/>
        </w:rPr>
        <w:t>已经获得、或已申请植物新品种权保护。甲方保证对该品种或育种亲本享有完整、独立的知识产权，且该品种</w:t>
      </w:r>
      <w:r>
        <w:rPr>
          <w:rFonts w:hint="eastAsia" w:ascii="仿宋_GB2312" w:hAnsi="仿宋_GB2312" w:eastAsia="仿宋_GB2312" w:cs="仿宋_GB2312"/>
          <w:sz w:val="30"/>
          <w:szCs w:val="30"/>
          <w:lang w:val="en-US" w:eastAsia="zh-CN"/>
        </w:rPr>
        <w:t>资源</w:t>
      </w:r>
      <w:r>
        <w:rPr>
          <w:rFonts w:hint="eastAsia" w:ascii="仿宋_GB2312" w:hAnsi="仿宋_GB2312" w:eastAsia="仿宋_GB2312" w:cs="仿宋_GB2312"/>
          <w:sz w:val="30"/>
          <w:szCs w:val="30"/>
        </w:rPr>
        <w:t>不存在知识产权纠纷、或</w:t>
      </w:r>
      <w:r>
        <w:rPr>
          <w:rFonts w:hint="eastAsia" w:ascii="仿宋_GB2312" w:hAnsi="仿宋_GB2312" w:eastAsia="仿宋_GB2312" w:cs="仿宋_GB2312"/>
          <w:sz w:val="30"/>
          <w:szCs w:val="30"/>
          <w:lang w:val="en-US" w:eastAsia="zh-CN"/>
        </w:rPr>
        <w:t>已</w:t>
      </w:r>
      <w:r>
        <w:rPr>
          <w:rFonts w:hint="eastAsia" w:ascii="仿宋_GB2312" w:hAnsi="仿宋_GB2312" w:eastAsia="仿宋_GB2312" w:cs="仿宋_GB2312"/>
          <w:sz w:val="30"/>
          <w:szCs w:val="30"/>
        </w:rPr>
        <w:t>独家授权第三方等任何可能造成上述品种</w:t>
      </w:r>
      <w:r>
        <w:rPr>
          <w:rFonts w:hint="eastAsia" w:ascii="仿宋_GB2312" w:hAnsi="仿宋_GB2312" w:eastAsia="仿宋_GB2312" w:cs="仿宋_GB2312"/>
          <w:sz w:val="30"/>
          <w:szCs w:val="30"/>
          <w:lang w:val="en-US" w:eastAsia="zh-CN"/>
        </w:rPr>
        <w:t>资源</w:t>
      </w:r>
      <w:r>
        <w:rPr>
          <w:rFonts w:hint="eastAsia" w:ascii="仿宋_GB2312" w:hAnsi="仿宋_GB2312" w:eastAsia="仿宋_GB2312" w:cs="仿宋_GB2312"/>
          <w:sz w:val="30"/>
          <w:szCs w:val="30"/>
        </w:rPr>
        <w:t>产权纠纷的潜在风险，甲方需对其提供的品种</w:t>
      </w:r>
      <w:r>
        <w:rPr>
          <w:rFonts w:hint="eastAsia" w:ascii="仿宋_GB2312" w:hAnsi="仿宋_GB2312" w:eastAsia="仿宋_GB2312" w:cs="仿宋_GB2312"/>
          <w:sz w:val="30"/>
          <w:szCs w:val="30"/>
          <w:lang w:val="en-US" w:eastAsia="zh-CN"/>
        </w:rPr>
        <w:t>资源</w:t>
      </w:r>
      <w:r>
        <w:rPr>
          <w:rFonts w:hint="eastAsia" w:ascii="仿宋_GB2312" w:hAnsi="仿宋_GB2312" w:eastAsia="仿宋_GB2312" w:cs="仿宋_GB2312"/>
          <w:sz w:val="30"/>
          <w:szCs w:val="30"/>
        </w:rPr>
        <w:t>负责。</w:t>
      </w:r>
    </w:p>
    <w:p w14:paraId="05D05F1D">
      <w:pPr>
        <w:keepNext w:val="0"/>
        <w:keepLines w:val="0"/>
        <w:pageBreakBefore w:val="0"/>
        <w:widowControl w:val="0"/>
        <w:kinsoku/>
        <w:wordWrap/>
        <w:overflowPunct/>
        <w:topLinePunct w:val="0"/>
        <w:autoSpaceDE/>
        <w:autoSpaceDN/>
        <w:bidi w:val="0"/>
        <w:adjustRightInd/>
        <w:snapToGrid/>
        <w:spacing w:line="240" w:lineRule="auto"/>
        <w:ind w:firstLine="602" w:firstLineChars="200"/>
        <w:textAlignment w:val="auto"/>
        <w:rPr>
          <w:rFonts w:hint="default" w:ascii="仿宋_GB2312" w:hAnsi="仿宋_GB2312" w:eastAsia="仿宋_GB2312" w:cs="仿宋_GB2312"/>
          <w:b/>
          <w:bCs/>
          <w:sz w:val="30"/>
          <w:szCs w:val="30"/>
          <w:lang w:val="en-US" w:eastAsia="zh-CN"/>
        </w:rPr>
      </w:pPr>
      <w:r>
        <w:rPr>
          <w:rFonts w:hint="eastAsia" w:ascii="仿宋_GB2312" w:hAnsi="仿宋_GB2312" w:eastAsia="仿宋_GB2312" w:cs="仿宋_GB2312"/>
          <w:b/>
          <w:bCs/>
          <w:sz w:val="30"/>
          <w:szCs w:val="30"/>
          <w:lang w:val="en-US" w:eastAsia="zh-CN"/>
        </w:rPr>
        <w:t>第二条 乙方须明确本协议中品种资源的创新用途，并在表格“许可（交流）用途”一栏中明确目标用途。</w:t>
      </w:r>
    </w:p>
    <w:p w14:paraId="5BA2A04F">
      <w:pPr>
        <w:keepNext w:val="0"/>
        <w:keepLines w:val="0"/>
        <w:pageBreakBefore w:val="0"/>
        <w:widowControl w:val="0"/>
        <w:kinsoku/>
        <w:wordWrap/>
        <w:overflowPunct/>
        <w:topLinePunct w:val="0"/>
        <w:autoSpaceDE/>
        <w:autoSpaceDN/>
        <w:bidi w:val="0"/>
        <w:adjustRightInd/>
        <w:snapToGrid/>
        <w:spacing w:line="240" w:lineRule="auto"/>
        <w:ind w:firstLine="602"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b/>
          <w:bCs/>
          <w:sz w:val="30"/>
          <w:szCs w:val="30"/>
          <w:lang w:val="en-US" w:eastAsia="zh-CN"/>
        </w:rPr>
        <w:t>（1）基础研究。</w:t>
      </w:r>
      <w:r>
        <w:rPr>
          <w:rFonts w:hint="eastAsia" w:ascii="仿宋_GB2312" w:hAnsi="仿宋_GB2312" w:eastAsia="仿宋_GB2312" w:cs="仿宋_GB2312"/>
          <w:b w:val="0"/>
          <w:bCs w:val="0"/>
          <w:sz w:val="30"/>
          <w:szCs w:val="30"/>
          <w:lang w:val="en-US" w:eastAsia="zh-CN"/>
        </w:rPr>
        <w:t>如</w:t>
      </w:r>
      <w:r>
        <w:rPr>
          <w:rFonts w:hint="eastAsia" w:ascii="仿宋_GB2312" w:hAnsi="仿宋_GB2312" w:eastAsia="仿宋_GB2312" w:cs="仿宋_GB2312"/>
          <w:sz w:val="30"/>
          <w:szCs w:val="30"/>
        </w:rPr>
        <w:t>乙方</w:t>
      </w:r>
      <w:r>
        <w:rPr>
          <w:rFonts w:hint="eastAsia" w:ascii="仿宋_GB2312" w:hAnsi="仿宋_GB2312" w:eastAsia="仿宋_GB2312" w:cs="仿宋_GB2312"/>
          <w:sz w:val="30"/>
          <w:szCs w:val="30"/>
          <w:lang w:val="en-US" w:eastAsia="zh-CN"/>
        </w:rPr>
        <w:t>利用上述品种资源开展基础研究等非品种改良或品种选育等育种创新工作，所产出的论文应明确资源出处，所产出的为专利或技术秘密等应用型相关成果后续应优先对甲方免费开发使用。</w:t>
      </w:r>
    </w:p>
    <w:p w14:paraId="43B93069">
      <w:pPr>
        <w:keepNext w:val="0"/>
        <w:keepLines w:val="0"/>
        <w:pageBreakBefore w:val="0"/>
        <w:widowControl w:val="0"/>
        <w:kinsoku/>
        <w:wordWrap/>
        <w:overflowPunct/>
        <w:topLinePunct w:val="0"/>
        <w:autoSpaceDE/>
        <w:autoSpaceDN/>
        <w:bidi w:val="0"/>
        <w:adjustRightInd/>
        <w:snapToGrid/>
        <w:spacing w:line="240" w:lineRule="auto"/>
        <w:ind w:firstLine="602" w:firstLineChars="200"/>
        <w:textAlignment w:val="auto"/>
        <w:rPr>
          <w:rFonts w:hint="eastAsia" w:ascii="仿宋_GB2312" w:hAnsi="仿宋_GB2312" w:eastAsia="仿宋_GB2312" w:cs="仿宋_GB2312"/>
          <w:i w:val="0"/>
          <w:iCs w:val="0"/>
          <w:sz w:val="30"/>
          <w:szCs w:val="30"/>
          <w:u w:val="none"/>
        </w:rPr>
      </w:pPr>
      <w:r>
        <w:rPr>
          <w:rFonts w:hint="eastAsia" w:ascii="仿宋_GB2312" w:hAnsi="仿宋_GB2312" w:eastAsia="仿宋_GB2312" w:cs="仿宋_GB2312"/>
          <w:b/>
          <w:bCs/>
          <w:i w:val="0"/>
          <w:iCs w:val="0"/>
          <w:sz w:val="30"/>
          <w:szCs w:val="30"/>
          <w:u w:val="none"/>
          <w:lang w:val="en-US" w:eastAsia="zh-CN"/>
        </w:rPr>
        <w:t>（2）育种创新。</w:t>
      </w:r>
      <w:r>
        <w:rPr>
          <w:rFonts w:hint="eastAsia" w:ascii="仿宋_GB2312" w:hAnsi="仿宋_GB2312" w:eastAsia="仿宋_GB2312" w:cs="仿宋_GB2312"/>
          <w:i w:val="0"/>
          <w:iCs w:val="0"/>
          <w:sz w:val="30"/>
          <w:szCs w:val="30"/>
          <w:u w:val="none"/>
          <w:lang w:val="en-US" w:eastAsia="zh-CN"/>
        </w:rPr>
        <w:t>如乙方利用上述品种资源直接开展品种改良或品种选育等育种创新工作，包括以本次许可（交流）品种资源为亲本育成的新</w:t>
      </w:r>
      <w:r>
        <w:rPr>
          <w:rFonts w:hint="eastAsia" w:ascii="仿宋_GB2312" w:hAnsi="仿宋_GB2312" w:eastAsia="仿宋_GB2312" w:cs="仿宋_GB2312"/>
          <w:i w:val="0"/>
          <w:iCs w:val="0"/>
          <w:sz w:val="30"/>
          <w:szCs w:val="30"/>
          <w:u w:val="none"/>
        </w:rPr>
        <w:t>品种</w:t>
      </w:r>
      <w:r>
        <w:rPr>
          <w:rFonts w:hint="eastAsia" w:ascii="仿宋_GB2312" w:hAnsi="仿宋_GB2312" w:eastAsia="仿宋_GB2312" w:cs="仿宋_GB2312"/>
          <w:i w:val="0"/>
          <w:iCs w:val="0"/>
          <w:sz w:val="30"/>
          <w:szCs w:val="30"/>
          <w:u w:val="none"/>
          <w:lang w:eastAsia="zh-CN"/>
        </w:rPr>
        <w:t>，</w:t>
      </w:r>
      <w:r>
        <w:rPr>
          <w:rFonts w:hint="eastAsia" w:ascii="仿宋_GB2312" w:hAnsi="仿宋_GB2312" w:eastAsia="仿宋_GB2312" w:cs="仿宋_GB2312"/>
          <w:i w:val="0"/>
          <w:iCs w:val="0"/>
          <w:sz w:val="30"/>
          <w:szCs w:val="30"/>
          <w:u w:val="none"/>
          <w:lang w:val="en-US" w:eastAsia="zh-CN"/>
        </w:rPr>
        <w:t>或创制出</w:t>
      </w:r>
      <w:r>
        <w:rPr>
          <w:rFonts w:hint="default" w:ascii="仿宋_GB2312" w:hAnsi="楷体" w:eastAsia="仿宋_GB2312"/>
          <w:b/>
          <w:bCs/>
          <w:i w:val="0"/>
          <w:iCs w:val="0"/>
          <w:color w:val="FF0000"/>
          <w:sz w:val="32"/>
          <w:u w:val="none"/>
          <w:lang w:val="en-US" w:eastAsia="zh-CN"/>
        </w:rPr>
        <w:t>遗传相似系数≥9</w:t>
      </w:r>
      <w:r>
        <w:rPr>
          <w:rFonts w:hint="eastAsia" w:ascii="仿宋_GB2312" w:hAnsi="楷体" w:eastAsia="仿宋_GB2312"/>
          <w:b/>
          <w:bCs/>
          <w:i w:val="0"/>
          <w:iCs w:val="0"/>
          <w:color w:val="FF0000"/>
          <w:sz w:val="32"/>
          <w:u w:val="none"/>
          <w:lang w:val="en-US" w:eastAsia="zh-CN"/>
        </w:rPr>
        <w:t>0</w:t>
      </w:r>
      <w:r>
        <w:rPr>
          <w:rFonts w:hint="default" w:ascii="仿宋_GB2312" w:hAnsi="楷体" w:eastAsia="仿宋_GB2312"/>
          <w:b/>
          <w:bCs/>
          <w:i w:val="0"/>
          <w:iCs w:val="0"/>
          <w:color w:val="FF0000"/>
          <w:sz w:val="32"/>
          <w:u w:val="none"/>
          <w:lang w:val="en-US" w:eastAsia="zh-CN"/>
        </w:rPr>
        <w:t>%</w:t>
      </w:r>
      <w:r>
        <w:rPr>
          <w:rFonts w:hint="eastAsia" w:ascii="仿宋_GB2312" w:hAnsi="楷体" w:eastAsia="仿宋_GB2312"/>
          <w:i w:val="0"/>
          <w:iCs w:val="0"/>
          <w:sz w:val="32"/>
          <w:u w:val="none"/>
          <w:lang w:val="en-US" w:eastAsia="zh-CN"/>
        </w:rPr>
        <w:t>的</w:t>
      </w:r>
      <w:r>
        <w:rPr>
          <w:rFonts w:hint="default" w:ascii="仿宋_GB2312" w:hAnsi="楷体" w:eastAsia="仿宋_GB2312"/>
          <w:i w:val="0"/>
          <w:iCs w:val="0"/>
          <w:sz w:val="32"/>
          <w:u w:val="none"/>
          <w:lang w:val="en-US" w:eastAsia="zh-CN"/>
        </w:rPr>
        <w:t>实质性派生品种</w:t>
      </w:r>
      <w:r>
        <w:rPr>
          <w:rFonts w:hint="eastAsia" w:ascii="仿宋_GB2312" w:hAnsi="楷体" w:eastAsia="仿宋_GB2312"/>
          <w:i w:val="0"/>
          <w:iCs w:val="0"/>
          <w:sz w:val="32"/>
          <w:u w:val="none"/>
          <w:lang w:val="en-US" w:eastAsia="zh-CN"/>
        </w:rPr>
        <w:t>商业化或许可商业化</w:t>
      </w:r>
      <w:r>
        <w:rPr>
          <w:rFonts w:hint="default" w:ascii="仿宋_GB2312" w:hAnsi="楷体" w:eastAsia="仿宋_GB2312"/>
          <w:i w:val="0"/>
          <w:iCs w:val="0"/>
          <w:sz w:val="32"/>
          <w:u w:val="none"/>
          <w:lang w:val="en-US" w:eastAsia="zh-CN"/>
        </w:rPr>
        <w:t>，</w:t>
      </w:r>
      <w:r>
        <w:rPr>
          <w:rFonts w:hint="eastAsia" w:ascii="仿宋_GB2312" w:hAnsi="仿宋_GB2312" w:eastAsia="仿宋_GB2312" w:cs="仿宋_GB2312"/>
          <w:i w:val="0"/>
          <w:iCs w:val="0"/>
          <w:sz w:val="30"/>
          <w:szCs w:val="30"/>
          <w:u w:val="none"/>
          <w:lang w:val="en-US" w:eastAsia="zh-CN"/>
        </w:rPr>
        <w:t>其知识产权</w:t>
      </w:r>
      <w:r>
        <w:rPr>
          <w:rFonts w:hint="eastAsia" w:ascii="仿宋_GB2312" w:hAnsi="仿宋_GB2312" w:eastAsia="仿宋_GB2312" w:cs="仿宋_GB2312"/>
          <w:i w:val="0"/>
          <w:iCs w:val="0"/>
          <w:sz w:val="30"/>
          <w:szCs w:val="30"/>
          <w:u w:val="none"/>
        </w:rPr>
        <w:t>由甲乙双方共有</w:t>
      </w:r>
      <w:r>
        <w:rPr>
          <w:rFonts w:hint="eastAsia" w:ascii="仿宋_GB2312" w:hAnsi="仿宋_GB2312" w:eastAsia="仿宋_GB2312" w:cs="仿宋_GB2312"/>
          <w:i w:val="0"/>
          <w:iCs w:val="0"/>
          <w:sz w:val="30"/>
          <w:szCs w:val="30"/>
          <w:u w:val="none"/>
          <w:lang w:eastAsia="zh-CN"/>
        </w:rPr>
        <w:t>，</w:t>
      </w:r>
      <w:r>
        <w:rPr>
          <w:rFonts w:hint="eastAsia" w:ascii="仿宋_GB2312" w:hAnsi="仿宋_GB2312" w:eastAsia="仿宋_GB2312" w:cs="仿宋_GB2312"/>
          <w:i w:val="0"/>
          <w:iCs w:val="0"/>
          <w:sz w:val="30"/>
          <w:szCs w:val="30"/>
          <w:u w:val="none"/>
          <w:lang w:val="en-US" w:eastAsia="zh-CN"/>
        </w:rPr>
        <w:t>甲方享有</w:t>
      </w:r>
      <w:r>
        <w:rPr>
          <w:rFonts w:hint="eastAsia" w:ascii="仿宋_GB2312" w:hAnsi="仿宋_GB2312" w:eastAsia="仿宋_GB2312" w:cs="仿宋_GB2312"/>
          <w:i w:val="0"/>
          <w:iCs w:val="0"/>
          <w:sz w:val="30"/>
          <w:szCs w:val="30"/>
          <w:u w:val="single"/>
          <w:lang w:val="en-US" w:eastAsia="zh-CN"/>
        </w:rPr>
        <w:t xml:space="preserve"> 20% </w:t>
      </w:r>
      <w:r>
        <w:rPr>
          <w:rFonts w:hint="eastAsia" w:ascii="仿宋_GB2312" w:hAnsi="仿宋_GB2312" w:eastAsia="仿宋_GB2312" w:cs="仿宋_GB2312"/>
          <w:i w:val="0"/>
          <w:iCs w:val="0"/>
          <w:sz w:val="30"/>
          <w:szCs w:val="30"/>
          <w:u w:val="none"/>
          <w:lang w:val="en-US" w:eastAsia="zh-CN"/>
        </w:rPr>
        <w:t>知识产权收益</w:t>
      </w:r>
      <w:r>
        <w:rPr>
          <w:rFonts w:hint="eastAsia" w:ascii="仿宋_GB2312" w:hAnsi="仿宋_GB2312" w:eastAsia="仿宋_GB2312" w:cs="仿宋_GB2312"/>
          <w:i w:val="0"/>
          <w:iCs w:val="0"/>
          <w:sz w:val="30"/>
          <w:szCs w:val="30"/>
          <w:u w:val="none"/>
          <w:lang w:eastAsia="zh-CN"/>
        </w:rPr>
        <w:t>，</w:t>
      </w:r>
      <w:r>
        <w:rPr>
          <w:rFonts w:hint="eastAsia" w:ascii="仿宋_GB2312" w:hAnsi="仿宋_GB2312" w:eastAsia="仿宋_GB2312" w:cs="仿宋_GB2312"/>
          <w:i w:val="0"/>
          <w:iCs w:val="0"/>
          <w:sz w:val="30"/>
          <w:szCs w:val="30"/>
          <w:u w:val="none"/>
          <w:lang w:val="en-US" w:eastAsia="zh-CN"/>
        </w:rPr>
        <w:t>且利用新品种申</w:t>
      </w:r>
      <w:r>
        <w:rPr>
          <w:rFonts w:hint="eastAsia" w:ascii="仿宋_GB2312" w:hAnsi="仿宋_GB2312" w:eastAsia="仿宋_GB2312" w:cs="仿宋_GB2312"/>
          <w:i w:val="0"/>
          <w:iCs w:val="0"/>
          <w:sz w:val="30"/>
          <w:szCs w:val="30"/>
          <w:u w:val="none"/>
        </w:rPr>
        <w:t>报品种审定和申请品种权保护时，完成单位乙方排第一，甲方排第二，主要完成人排名按乙方科研人员第一、第三、第五奇数位排序，甲方科研人员可按第二、第四、第六偶数位排序，双方相间排列。</w:t>
      </w:r>
    </w:p>
    <w:p w14:paraId="57A5AAAA">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rPr>
          <w:rFonts w:hint="default"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lang w:val="en-US" w:eastAsia="zh-CN"/>
        </w:rPr>
        <w:t>3</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lang w:val="en-US" w:eastAsia="zh-CN"/>
        </w:rPr>
        <w:t>其他具体用途（需详细约定）。</w:t>
      </w:r>
    </w:p>
    <w:p w14:paraId="4F5B1D6E">
      <w:pPr>
        <w:keepNext w:val="0"/>
        <w:keepLines w:val="0"/>
        <w:pageBreakBefore w:val="0"/>
        <w:widowControl w:val="0"/>
        <w:kinsoku/>
        <w:wordWrap/>
        <w:overflowPunct/>
        <w:topLinePunct w:val="0"/>
        <w:autoSpaceDE/>
        <w:autoSpaceDN/>
        <w:bidi w:val="0"/>
        <w:adjustRightInd/>
        <w:snapToGrid/>
        <w:spacing w:line="240" w:lineRule="auto"/>
        <w:ind w:firstLine="602"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b/>
          <w:bCs/>
          <w:sz w:val="30"/>
          <w:szCs w:val="30"/>
          <w:lang w:val="en-US" w:eastAsia="zh-CN"/>
        </w:rPr>
        <w:t xml:space="preserve">第三条 </w:t>
      </w:r>
      <w:r>
        <w:rPr>
          <w:rFonts w:hint="eastAsia" w:ascii="仿宋_GB2312" w:hAnsi="仿宋_GB2312" w:eastAsia="仿宋_GB2312" w:cs="仿宋_GB2312"/>
          <w:sz w:val="30"/>
          <w:szCs w:val="30"/>
        </w:rPr>
        <w:t>乙方不得更改引进的甲方品种</w:t>
      </w:r>
      <w:r>
        <w:rPr>
          <w:rFonts w:hint="eastAsia" w:ascii="仿宋_GB2312" w:hAnsi="仿宋_GB2312" w:eastAsia="仿宋_GB2312" w:cs="仿宋_GB2312"/>
          <w:sz w:val="30"/>
          <w:szCs w:val="30"/>
          <w:lang w:val="en-US" w:eastAsia="zh-CN"/>
        </w:rPr>
        <w:t>资源的</w:t>
      </w:r>
      <w:r>
        <w:rPr>
          <w:rFonts w:hint="eastAsia" w:ascii="仿宋_GB2312" w:hAnsi="仿宋_GB2312" w:eastAsia="仿宋_GB2312" w:cs="仿宋_GB2312"/>
          <w:sz w:val="30"/>
          <w:szCs w:val="30"/>
        </w:rPr>
        <w:t>品种名称（</w:t>
      </w:r>
      <w:r>
        <w:rPr>
          <w:rFonts w:hint="eastAsia" w:ascii="仿宋_GB2312" w:hAnsi="仿宋_GB2312" w:eastAsia="仿宋_GB2312" w:cs="仿宋_GB2312"/>
          <w:sz w:val="30"/>
          <w:szCs w:val="30"/>
          <w:lang w:val="en-US" w:eastAsia="zh-CN"/>
        </w:rPr>
        <w:t>利用该品种资源通过</w:t>
      </w:r>
      <w:r>
        <w:rPr>
          <w:rFonts w:hint="eastAsia" w:ascii="仿宋_GB2312" w:hAnsi="仿宋_GB2312" w:eastAsia="仿宋_GB2312" w:cs="仿宋_GB2312"/>
          <w:sz w:val="30"/>
          <w:szCs w:val="30"/>
        </w:rPr>
        <w:t>系统选育</w:t>
      </w:r>
      <w:r>
        <w:rPr>
          <w:rFonts w:hint="eastAsia" w:ascii="仿宋_GB2312" w:hAnsi="仿宋_GB2312" w:eastAsia="仿宋_GB2312" w:cs="仿宋_GB2312"/>
          <w:sz w:val="30"/>
          <w:szCs w:val="30"/>
          <w:lang w:val="en-US" w:eastAsia="zh-CN"/>
        </w:rPr>
        <w:t>获得</w:t>
      </w:r>
      <w:r>
        <w:rPr>
          <w:rFonts w:hint="eastAsia" w:ascii="仿宋_GB2312" w:hAnsi="仿宋_GB2312" w:eastAsia="仿宋_GB2312" w:cs="仿宋_GB2312"/>
          <w:sz w:val="30"/>
          <w:szCs w:val="30"/>
        </w:rPr>
        <w:t>的材料</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rPr>
        <w:t>用新名</w:t>
      </w:r>
      <w:r>
        <w:rPr>
          <w:rFonts w:hint="eastAsia" w:ascii="仿宋_GB2312" w:hAnsi="仿宋_GB2312" w:eastAsia="仿宋_GB2312" w:cs="仿宋_GB2312"/>
          <w:sz w:val="30"/>
          <w:szCs w:val="30"/>
          <w:lang w:val="en-US" w:eastAsia="zh-CN"/>
        </w:rPr>
        <w:t>称</w:t>
      </w:r>
      <w:r>
        <w:rPr>
          <w:rFonts w:hint="eastAsia" w:ascii="仿宋_GB2312" w:hAnsi="仿宋_GB2312" w:eastAsia="仿宋_GB2312" w:cs="仿宋_GB2312"/>
          <w:sz w:val="30"/>
          <w:szCs w:val="30"/>
        </w:rPr>
        <w:t>视同改名）。</w:t>
      </w:r>
    </w:p>
    <w:p w14:paraId="4EFC01BC">
      <w:pPr>
        <w:keepNext w:val="0"/>
        <w:keepLines w:val="0"/>
        <w:pageBreakBefore w:val="0"/>
        <w:widowControl w:val="0"/>
        <w:kinsoku/>
        <w:wordWrap/>
        <w:overflowPunct/>
        <w:topLinePunct w:val="0"/>
        <w:autoSpaceDE/>
        <w:autoSpaceDN/>
        <w:bidi w:val="0"/>
        <w:adjustRightInd/>
        <w:snapToGrid/>
        <w:spacing w:line="240" w:lineRule="auto"/>
        <w:ind w:firstLine="602"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b/>
          <w:bCs/>
          <w:sz w:val="30"/>
          <w:szCs w:val="30"/>
          <w:lang w:val="en-US" w:eastAsia="zh-CN"/>
        </w:rPr>
        <w:t>第四条</w:t>
      </w:r>
      <w:r>
        <w:rPr>
          <w:rFonts w:hint="eastAsia" w:ascii="仿宋_GB2312" w:hAnsi="仿宋_GB2312" w:eastAsia="仿宋_GB2312" w:cs="仿宋_GB2312"/>
          <w:sz w:val="30"/>
          <w:szCs w:val="30"/>
          <w:lang w:val="en-US" w:eastAsia="zh-CN"/>
        </w:rPr>
        <w:t xml:space="preserve"> </w:t>
      </w:r>
      <w:r>
        <w:rPr>
          <w:rFonts w:hint="eastAsia" w:ascii="仿宋_GB2312" w:hAnsi="仿宋_GB2312" w:eastAsia="仿宋_GB2312" w:cs="仿宋_GB2312"/>
          <w:sz w:val="30"/>
          <w:szCs w:val="30"/>
        </w:rPr>
        <w:t>乙方</w:t>
      </w:r>
      <w:r>
        <w:rPr>
          <w:rFonts w:hint="eastAsia" w:ascii="仿宋_GB2312" w:hAnsi="仿宋_GB2312" w:eastAsia="仿宋_GB2312" w:cs="仿宋_GB2312"/>
          <w:sz w:val="30"/>
          <w:szCs w:val="30"/>
          <w:lang w:val="en-US" w:eastAsia="zh-CN"/>
        </w:rPr>
        <w:t>在本协议许可范围内使用甲方所提供品种资源的，</w:t>
      </w:r>
      <w:r>
        <w:rPr>
          <w:rFonts w:hint="eastAsia" w:ascii="仿宋_GB2312" w:hAnsi="仿宋_GB2312" w:eastAsia="仿宋_GB2312" w:cs="仿宋_GB2312"/>
          <w:sz w:val="30"/>
          <w:szCs w:val="30"/>
        </w:rPr>
        <w:t>可以自行繁殖。</w:t>
      </w:r>
    </w:p>
    <w:p w14:paraId="2747FACD">
      <w:pPr>
        <w:keepNext w:val="0"/>
        <w:keepLines w:val="0"/>
        <w:pageBreakBefore w:val="0"/>
        <w:widowControl w:val="0"/>
        <w:kinsoku/>
        <w:wordWrap/>
        <w:overflowPunct/>
        <w:topLinePunct w:val="0"/>
        <w:autoSpaceDE/>
        <w:autoSpaceDN/>
        <w:bidi w:val="0"/>
        <w:adjustRightInd/>
        <w:snapToGrid/>
        <w:spacing w:line="240" w:lineRule="auto"/>
        <w:ind w:firstLine="602"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b/>
          <w:bCs/>
          <w:sz w:val="30"/>
          <w:szCs w:val="30"/>
          <w:lang w:val="en-US" w:eastAsia="zh-CN"/>
        </w:rPr>
        <w:t>第五条</w:t>
      </w:r>
      <w:r>
        <w:rPr>
          <w:rFonts w:hint="eastAsia" w:ascii="仿宋_GB2312" w:hAnsi="仿宋_GB2312" w:eastAsia="仿宋_GB2312" w:cs="仿宋_GB2312"/>
          <w:sz w:val="30"/>
          <w:szCs w:val="30"/>
          <w:lang w:val="en-US" w:eastAsia="zh-CN"/>
        </w:rPr>
        <w:t xml:space="preserve"> 未经甲方书面许可，乙方不得再许可给第三方开展基础研究或育种创新工作。且</w:t>
      </w:r>
      <w:r>
        <w:rPr>
          <w:rFonts w:hint="eastAsia" w:ascii="仿宋_GB2312" w:hAnsi="仿宋_GB2312" w:eastAsia="仿宋_GB2312" w:cs="仿宋_GB2312"/>
          <w:sz w:val="30"/>
          <w:szCs w:val="30"/>
        </w:rPr>
        <w:t>乙方有义务采取必要措施确保上述品种</w:t>
      </w:r>
      <w:r>
        <w:rPr>
          <w:rFonts w:hint="eastAsia" w:ascii="仿宋_GB2312" w:hAnsi="仿宋_GB2312" w:eastAsia="仿宋_GB2312" w:cs="仿宋_GB2312"/>
          <w:sz w:val="30"/>
          <w:szCs w:val="30"/>
          <w:lang w:val="en-US" w:eastAsia="zh-CN"/>
        </w:rPr>
        <w:t>资源</w:t>
      </w:r>
      <w:r>
        <w:rPr>
          <w:rFonts w:hint="eastAsia" w:ascii="仿宋_GB2312" w:hAnsi="仿宋_GB2312" w:eastAsia="仿宋_GB2312" w:cs="仿宋_GB2312"/>
          <w:sz w:val="30"/>
          <w:szCs w:val="30"/>
        </w:rPr>
        <w:t>在控制范围内，</w:t>
      </w:r>
      <w:r>
        <w:rPr>
          <w:rFonts w:hint="eastAsia" w:ascii="仿宋_GB2312" w:hAnsi="仿宋_GB2312" w:eastAsia="仿宋_GB2312" w:cs="仿宋_GB2312"/>
          <w:sz w:val="30"/>
          <w:szCs w:val="30"/>
          <w:lang w:val="en-US" w:eastAsia="zh-CN"/>
        </w:rPr>
        <w:t>以免</w:t>
      </w:r>
      <w:r>
        <w:rPr>
          <w:rFonts w:hint="eastAsia" w:ascii="仿宋_GB2312" w:hAnsi="仿宋_GB2312" w:eastAsia="仿宋_GB2312" w:cs="仿宋_GB2312"/>
          <w:sz w:val="30"/>
          <w:szCs w:val="30"/>
        </w:rPr>
        <w:t>扩散给第三方。</w:t>
      </w:r>
    </w:p>
    <w:p w14:paraId="0C94B7BA">
      <w:pPr>
        <w:keepNext w:val="0"/>
        <w:keepLines w:val="0"/>
        <w:pageBreakBefore w:val="0"/>
        <w:widowControl w:val="0"/>
        <w:kinsoku/>
        <w:wordWrap/>
        <w:overflowPunct/>
        <w:topLinePunct w:val="0"/>
        <w:autoSpaceDE/>
        <w:autoSpaceDN/>
        <w:bidi w:val="0"/>
        <w:adjustRightInd/>
        <w:snapToGrid/>
        <w:spacing w:line="240" w:lineRule="auto"/>
        <w:ind w:firstLine="602"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b/>
          <w:bCs/>
          <w:sz w:val="30"/>
          <w:szCs w:val="30"/>
          <w:lang w:val="en-US" w:eastAsia="zh-CN"/>
        </w:rPr>
        <w:t>第六条</w:t>
      </w:r>
      <w:r>
        <w:rPr>
          <w:rFonts w:hint="eastAsia" w:ascii="仿宋_GB2312" w:hAnsi="仿宋_GB2312" w:eastAsia="仿宋_GB2312" w:cs="仿宋_GB2312"/>
          <w:sz w:val="30"/>
          <w:szCs w:val="30"/>
          <w:lang w:val="en-US" w:eastAsia="zh-CN"/>
        </w:rPr>
        <w:t xml:space="preserve"> </w:t>
      </w:r>
      <w:r>
        <w:rPr>
          <w:rFonts w:hint="eastAsia" w:ascii="仿宋_GB2312" w:hAnsi="仿宋_GB2312" w:eastAsia="仿宋_GB2312" w:cs="仿宋_GB2312"/>
          <w:sz w:val="30"/>
          <w:szCs w:val="30"/>
        </w:rPr>
        <w:t>本合同中乙方是指</w:t>
      </w:r>
      <w:r>
        <w:rPr>
          <w:rFonts w:hint="eastAsia" w:ascii="仿宋_GB2312" w:hAnsi="仿宋_GB2312" w:eastAsia="仿宋_GB2312" w:cs="仿宋_GB2312"/>
          <w:sz w:val="30"/>
          <w:szCs w:val="30"/>
          <w:lang w:val="en-US" w:eastAsia="zh-CN"/>
        </w:rPr>
        <w:t>乙方</w:t>
      </w:r>
      <w:r>
        <w:rPr>
          <w:rFonts w:hint="eastAsia" w:ascii="仿宋_GB2312" w:hAnsi="仿宋_GB2312" w:eastAsia="仿宋_GB2312" w:cs="仿宋_GB2312"/>
          <w:sz w:val="30"/>
          <w:szCs w:val="30"/>
        </w:rPr>
        <w:t>以及</w:t>
      </w:r>
      <w:r>
        <w:rPr>
          <w:rFonts w:hint="eastAsia" w:ascii="仿宋_GB2312" w:hAnsi="仿宋_GB2312" w:eastAsia="仿宋_GB2312" w:cs="仿宋_GB2312"/>
          <w:sz w:val="30"/>
          <w:szCs w:val="30"/>
          <w:lang w:val="en-US" w:eastAsia="zh-CN"/>
        </w:rPr>
        <w:t>有归属关系、或</w:t>
      </w:r>
      <w:r>
        <w:rPr>
          <w:rFonts w:hint="eastAsia" w:ascii="仿宋_GB2312" w:hAnsi="仿宋_GB2312" w:eastAsia="仿宋_GB2312" w:cs="仿宋_GB2312"/>
          <w:sz w:val="30"/>
          <w:szCs w:val="30"/>
        </w:rPr>
        <w:t>其</w:t>
      </w:r>
      <w:r>
        <w:rPr>
          <w:rFonts w:hint="eastAsia" w:ascii="仿宋_GB2312" w:hAnsi="仿宋_GB2312" w:eastAsia="仿宋_GB2312" w:cs="仿宋_GB2312"/>
          <w:sz w:val="30"/>
          <w:szCs w:val="30"/>
          <w:lang w:val="en-US" w:eastAsia="zh-CN"/>
        </w:rPr>
        <w:t>有</w:t>
      </w:r>
      <w:r>
        <w:rPr>
          <w:rFonts w:hint="eastAsia" w:ascii="仿宋_GB2312" w:hAnsi="仿宋_GB2312" w:eastAsia="仿宋_GB2312" w:cs="仿宋_GB2312"/>
          <w:sz w:val="30"/>
          <w:szCs w:val="30"/>
        </w:rPr>
        <w:t>控股</w:t>
      </w:r>
      <w:r>
        <w:rPr>
          <w:rFonts w:hint="eastAsia" w:ascii="仿宋_GB2312" w:hAnsi="仿宋_GB2312" w:eastAsia="仿宋_GB2312" w:cs="仿宋_GB2312"/>
          <w:sz w:val="30"/>
          <w:szCs w:val="30"/>
          <w:lang w:val="en-US" w:eastAsia="zh-CN"/>
        </w:rPr>
        <w:t>权</w:t>
      </w:r>
      <w:r>
        <w:rPr>
          <w:rFonts w:hint="eastAsia" w:ascii="仿宋_GB2312" w:hAnsi="仿宋_GB2312" w:eastAsia="仿宋_GB2312" w:cs="仿宋_GB2312"/>
          <w:sz w:val="30"/>
          <w:szCs w:val="30"/>
        </w:rPr>
        <w:t>的主体。</w:t>
      </w:r>
    </w:p>
    <w:p w14:paraId="6D8CA930">
      <w:pPr>
        <w:keepNext w:val="0"/>
        <w:keepLines w:val="0"/>
        <w:pageBreakBefore w:val="0"/>
        <w:widowControl w:val="0"/>
        <w:kinsoku/>
        <w:wordWrap/>
        <w:overflowPunct/>
        <w:topLinePunct w:val="0"/>
        <w:autoSpaceDE/>
        <w:autoSpaceDN/>
        <w:bidi w:val="0"/>
        <w:adjustRightInd/>
        <w:snapToGrid/>
        <w:spacing w:line="240" w:lineRule="auto"/>
        <w:ind w:firstLine="602"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b/>
          <w:bCs/>
          <w:sz w:val="30"/>
          <w:szCs w:val="30"/>
          <w:lang w:val="en-US" w:eastAsia="zh-CN"/>
        </w:rPr>
        <w:t>第七条</w:t>
      </w:r>
      <w:r>
        <w:rPr>
          <w:rFonts w:hint="eastAsia" w:ascii="仿宋_GB2312" w:hAnsi="仿宋_GB2312" w:eastAsia="仿宋_GB2312" w:cs="仿宋_GB2312"/>
          <w:sz w:val="30"/>
          <w:szCs w:val="30"/>
        </w:rPr>
        <w:t xml:space="preserve"> 有关品种授权开发具体事宜双方另行协商。</w:t>
      </w:r>
    </w:p>
    <w:p w14:paraId="7D72CE10">
      <w:pPr>
        <w:keepNext w:val="0"/>
        <w:keepLines w:val="0"/>
        <w:pageBreakBefore w:val="0"/>
        <w:widowControl w:val="0"/>
        <w:kinsoku/>
        <w:wordWrap/>
        <w:overflowPunct/>
        <w:topLinePunct w:val="0"/>
        <w:autoSpaceDE/>
        <w:autoSpaceDN/>
        <w:bidi w:val="0"/>
        <w:adjustRightInd/>
        <w:snapToGrid/>
        <w:spacing w:line="240" w:lineRule="auto"/>
        <w:ind w:firstLine="602"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b/>
          <w:bCs/>
          <w:sz w:val="30"/>
          <w:szCs w:val="30"/>
          <w:lang w:val="en-US" w:eastAsia="zh-CN"/>
        </w:rPr>
        <w:t xml:space="preserve">第八条 </w:t>
      </w:r>
      <w:r>
        <w:rPr>
          <w:rFonts w:hint="eastAsia" w:ascii="仿宋_GB2312" w:hAnsi="仿宋_GB2312" w:eastAsia="仿宋_GB2312" w:cs="仿宋_GB2312"/>
          <w:sz w:val="30"/>
          <w:szCs w:val="30"/>
        </w:rPr>
        <w:t>甲方提供上述品种</w:t>
      </w:r>
      <w:r>
        <w:rPr>
          <w:rFonts w:hint="eastAsia" w:ascii="仿宋_GB2312" w:hAnsi="仿宋_GB2312" w:eastAsia="仿宋_GB2312" w:cs="仿宋_GB2312"/>
          <w:sz w:val="30"/>
          <w:szCs w:val="30"/>
          <w:lang w:val="en-US" w:eastAsia="zh-CN"/>
        </w:rPr>
        <w:t>资源应均分</w:t>
      </w:r>
      <w:r>
        <w:rPr>
          <w:rFonts w:hint="eastAsia" w:ascii="仿宋_GB2312" w:hAnsi="仿宋_GB2312" w:eastAsia="仿宋_GB2312" w:cs="仿宋_GB2312"/>
          <w:sz w:val="30"/>
          <w:szCs w:val="30"/>
          <w:u w:val="single"/>
          <w:lang w:val="en-US" w:eastAsia="zh-CN"/>
        </w:rPr>
        <w:t xml:space="preserve"> 三 </w:t>
      </w:r>
      <w:r>
        <w:rPr>
          <w:rFonts w:hint="eastAsia" w:ascii="仿宋_GB2312" w:hAnsi="仿宋_GB2312" w:eastAsia="仿宋_GB2312" w:cs="仿宋_GB2312"/>
          <w:sz w:val="30"/>
          <w:szCs w:val="30"/>
        </w:rPr>
        <w:t>份各</w:t>
      </w:r>
      <w:r>
        <w:rPr>
          <w:rFonts w:hint="eastAsia" w:ascii="仿宋_GB2312" w:hAnsi="仿宋_GB2312" w:eastAsia="仿宋_GB2312" w:cs="仿宋_GB2312"/>
          <w:sz w:val="30"/>
          <w:szCs w:val="30"/>
          <w:u w:val="single"/>
          <w:lang w:val="en-US" w:eastAsia="zh-CN"/>
        </w:rPr>
        <w:t xml:space="preserve">**        </w:t>
      </w:r>
      <w:r>
        <w:rPr>
          <w:rFonts w:hint="eastAsia" w:ascii="仿宋_GB2312" w:hAnsi="仿宋_GB2312" w:eastAsia="仿宋_GB2312" w:cs="仿宋_GB2312"/>
          <w:sz w:val="30"/>
          <w:szCs w:val="30"/>
        </w:rPr>
        <w:t>g，其中两份样品由甲乙双方代表共同签字密封，长期低温保存，由甲乙双方各留一份，两份样品在处理该品种或育种亲本知识产权纠纷时具有同等法律效力。第三份样品由乙方开展创新活动使用。</w:t>
      </w:r>
    </w:p>
    <w:p w14:paraId="636514B5">
      <w:pPr>
        <w:keepNext w:val="0"/>
        <w:keepLines w:val="0"/>
        <w:pageBreakBefore w:val="0"/>
        <w:widowControl w:val="0"/>
        <w:kinsoku/>
        <w:wordWrap/>
        <w:overflowPunct/>
        <w:topLinePunct w:val="0"/>
        <w:autoSpaceDE/>
        <w:autoSpaceDN/>
        <w:bidi w:val="0"/>
        <w:adjustRightInd/>
        <w:snapToGrid/>
        <w:spacing w:line="240" w:lineRule="auto"/>
        <w:ind w:firstLine="602"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b/>
          <w:bCs/>
          <w:sz w:val="30"/>
          <w:szCs w:val="30"/>
          <w:lang w:val="en-US" w:eastAsia="zh-CN"/>
        </w:rPr>
        <w:t>第九条</w:t>
      </w:r>
      <w:r>
        <w:rPr>
          <w:rFonts w:hint="eastAsia" w:ascii="仿宋_GB2312" w:hAnsi="仿宋_GB2312" w:eastAsia="仿宋_GB2312" w:cs="仿宋_GB2312"/>
          <w:sz w:val="30"/>
          <w:szCs w:val="30"/>
          <w:lang w:val="en-US" w:eastAsia="zh-CN"/>
        </w:rPr>
        <w:t xml:space="preserve"> </w:t>
      </w:r>
      <w:r>
        <w:rPr>
          <w:rFonts w:hint="eastAsia" w:ascii="仿宋_GB2312" w:hAnsi="仿宋_GB2312" w:eastAsia="仿宋_GB2312" w:cs="仿宋_GB2312"/>
          <w:sz w:val="30"/>
          <w:szCs w:val="30"/>
        </w:rPr>
        <w:t>如乙方违反本合同第2、3、4、5</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lang w:val="en-US" w:eastAsia="zh-CN"/>
        </w:rPr>
        <w:t>6</w:t>
      </w:r>
      <w:r>
        <w:rPr>
          <w:rFonts w:hint="eastAsia" w:ascii="仿宋_GB2312" w:hAnsi="仿宋_GB2312" w:eastAsia="仿宋_GB2312" w:cs="仿宋_GB2312"/>
          <w:sz w:val="30"/>
          <w:szCs w:val="30"/>
        </w:rPr>
        <w:t>条规定，应向甲方支付违约金200万元；如甲方违反本合同第1条规定，应向乙方支付违约金200万元。如违约金不足以弥补守约方因此遭受的全部损失（包括守约方为维权支出的合理费用，如仲裁费、律师费、差旅费、取证费等），则违约方还应承担补足赔偿守约方全部损失的责任。违约方支付违约金后，守约方仍享有本协议约定的知识产权和经济利益。</w:t>
      </w:r>
    </w:p>
    <w:p w14:paraId="69703E92">
      <w:pPr>
        <w:keepNext w:val="0"/>
        <w:keepLines w:val="0"/>
        <w:pageBreakBefore w:val="0"/>
        <w:widowControl w:val="0"/>
        <w:kinsoku/>
        <w:wordWrap/>
        <w:overflowPunct/>
        <w:topLinePunct w:val="0"/>
        <w:autoSpaceDE/>
        <w:autoSpaceDN/>
        <w:bidi w:val="0"/>
        <w:adjustRightInd/>
        <w:snapToGrid/>
        <w:spacing w:line="240" w:lineRule="auto"/>
        <w:ind w:firstLine="602"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b/>
          <w:bCs/>
          <w:sz w:val="30"/>
          <w:szCs w:val="30"/>
          <w:lang w:val="en-US" w:eastAsia="zh-CN"/>
        </w:rPr>
        <w:t>第十条</w:t>
      </w:r>
      <w:r>
        <w:rPr>
          <w:rFonts w:hint="eastAsia" w:ascii="仿宋_GB2312" w:hAnsi="仿宋_GB2312" w:eastAsia="仿宋_GB2312" w:cs="仿宋_GB2312"/>
          <w:sz w:val="30"/>
          <w:szCs w:val="30"/>
          <w:lang w:val="en-US" w:eastAsia="zh-CN"/>
        </w:rPr>
        <w:t xml:space="preserve"> </w:t>
      </w:r>
      <w:r>
        <w:rPr>
          <w:rFonts w:hint="eastAsia" w:ascii="仿宋_GB2312" w:hAnsi="仿宋_GB2312" w:eastAsia="仿宋_GB2312" w:cs="仿宋_GB2312"/>
          <w:sz w:val="30"/>
          <w:szCs w:val="30"/>
        </w:rPr>
        <w:t>合同履行过程中发生争议时，双方协商解决；不能协商解决的，甲乙双方均同意提请海南仲裁委员会三亚仲裁院按照其仲裁规则进行仲裁，仲裁结果对双方当事人均有约束力。</w:t>
      </w:r>
    </w:p>
    <w:p w14:paraId="571E0981">
      <w:pPr>
        <w:keepNext w:val="0"/>
        <w:keepLines w:val="0"/>
        <w:pageBreakBefore w:val="0"/>
        <w:widowControl w:val="0"/>
        <w:kinsoku/>
        <w:wordWrap/>
        <w:overflowPunct/>
        <w:topLinePunct w:val="0"/>
        <w:autoSpaceDE/>
        <w:autoSpaceDN/>
        <w:bidi w:val="0"/>
        <w:adjustRightInd/>
        <w:snapToGrid/>
        <w:spacing w:line="240" w:lineRule="auto"/>
        <w:ind w:firstLine="602"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b/>
          <w:bCs/>
          <w:sz w:val="30"/>
          <w:szCs w:val="30"/>
          <w:lang w:val="en-US" w:eastAsia="zh-CN"/>
        </w:rPr>
        <w:t xml:space="preserve">第十一条 </w:t>
      </w:r>
      <w:r>
        <w:rPr>
          <w:rFonts w:hint="eastAsia" w:ascii="仿宋_GB2312" w:hAnsi="仿宋_GB2312" w:eastAsia="仿宋_GB2312" w:cs="仿宋_GB2312"/>
          <w:sz w:val="30"/>
          <w:szCs w:val="30"/>
        </w:rPr>
        <w:t>本合同经双方代表签名盖公章后生效。本协议一式4份，双方各执2份。</w:t>
      </w:r>
    </w:p>
    <w:p w14:paraId="43911FF2">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rPr>
          <w:rFonts w:hint="eastAsia" w:ascii="仿宋_GB2312" w:hAnsi="仿宋_GB2312" w:eastAsia="仿宋_GB2312" w:cs="仿宋_GB2312"/>
          <w:sz w:val="30"/>
          <w:szCs w:val="30"/>
        </w:rPr>
      </w:pPr>
    </w:p>
    <w:p w14:paraId="44B3CD82">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xml:space="preserve"> </w:t>
      </w:r>
    </w:p>
    <w:p w14:paraId="6F7467D6">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b/>
          <w:bCs/>
          <w:sz w:val="30"/>
          <w:szCs w:val="30"/>
          <w:lang w:eastAsia="zh-CN"/>
        </w:rPr>
      </w:pPr>
      <w:r>
        <w:rPr>
          <w:rFonts w:hint="eastAsia" w:ascii="仿宋_GB2312" w:hAnsi="仿宋_GB2312" w:eastAsia="仿宋_GB2312" w:cs="仿宋_GB2312"/>
          <w:b/>
          <w:bCs/>
          <w:sz w:val="30"/>
          <w:szCs w:val="30"/>
        </w:rPr>
        <w:t xml:space="preserve">甲方：                            乙方： </w:t>
      </w:r>
      <w:r>
        <w:rPr>
          <w:rFonts w:hint="eastAsia" w:ascii="仿宋_GB2312" w:hAnsi="仿宋_GB2312" w:eastAsia="仿宋_GB2312" w:cs="仿宋_GB2312"/>
          <w:b/>
          <w:bCs/>
          <w:sz w:val="30"/>
          <w:szCs w:val="30"/>
          <w:lang w:val="en-US" w:eastAsia="zh-CN"/>
        </w:rPr>
        <w:t xml:space="preserve"> </w:t>
      </w:r>
    </w:p>
    <w:p w14:paraId="00DF674D">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b/>
          <w:bCs/>
          <w:sz w:val="30"/>
          <w:szCs w:val="30"/>
        </w:rPr>
      </w:pPr>
      <w:r>
        <w:rPr>
          <w:rFonts w:hint="eastAsia" w:ascii="仿宋_GB2312" w:hAnsi="仿宋_GB2312" w:eastAsia="仿宋_GB2312" w:cs="仿宋_GB2312"/>
          <w:b/>
          <w:bCs/>
          <w:sz w:val="30"/>
          <w:szCs w:val="30"/>
        </w:rPr>
        <w:t>代表：                            代表：</w:t>
      </w:r>
    </w:p>
    <w:p w14:paraId="5192AD80">
      <w:pPr>
        <w:keepNext w:val="0"/>
        <w:keepLines w:val="0"/>
        <w:pageBreakBefore w:val="0"/>
        <w:widowControl w:val="0"/>
        <w:kinsoku/>
        <w:wordWrap/>
        <w:overflowPunct/>
        <w:topLinePunct w:val="0"/>
        <w:autoSpaceDE/>
        <w:autoSpaceDN/>
        <w:bidi w:val="0"/>
        <w:adjustRightInd/>
        <w:snapToGrid/>
        <w:spacing w:before="312" w:beforeLines="100" w:line="240" w:lineRule="auto"/>
        <w:ind w:left="307" w:hanging="386" w:hangingChars="128"/>
        <w:textAlignment w:val="auto"/>
        <w:rPr>
          <w:rFonts w:hint="eastAsia" w:ascii="仿宋_GB2312" w:hAnsi="仿宋_GB2312" w:eastAsia="仿宋_GB2312" w:cs="仿宋_GB2312"/>
          <w:b/>
          <w:bCs/>
          <w:sz w:val="30"/>
          <w:szCs w:val="30"/>
        </w:rPr>
      </w:pPr>
      <w:r>
        <w:rPr>
          <w:rFonts w:hint="eastAsia" w:ascii="仿宋_GB2312" w:hAnsi="仿宋_GB2312" w:eastAsia="仿宋_GB2312" w:cs="仿宋_GB2312"/>
          <w:b/>
          <w:bCs/>
          <w:sz w:val="30"/>
          <w:szCs w:val="30"/>
        </w:rPr>
        <w:t xml:space="preserve">签订地点：                </w:t>
      </w:r>
      <w:r>
        <w:rPr>
          <w:rFonts w:hint="eastAsia" w:ascii="仿宋_GB2312" w:hAnsi="仿宋_GB2312" w:eastAsia="仿宋_GB2312" w:cs="仿宋_GB2312"/>
          <w:b/>
          <w:bCs/>
          <w:sz w:val="30"/>
          <w:szCs w:val="30"/>
          <w:lang w:val="en-US" w:eastAsia="zh-CN"/>
        </w:rPr>
        <w:t xml:space="preserve">    </w:t>
      </w:r>
      <w:r>
        <w:rPr>
          <w:rFonts w:hint="eastAsia" w:ascii="仿宋_GB2312" w:hAnsi="仿宋_GB2312" w:eastAsia="仿宋_GB2312" w:cs="仿宋_GB2312"/>
          <w:b/>
          <w:bCs/>
          <w:sz w:val="30"/>
          <w:szCs w:val="30"/>
        </w:rPr>
        <w:t>签订日期：   年  月  日</w:t>
      </w:r>
    </w:p>
    <w:p w14:paraId="1DB092E8">
      <w:pPr>
        <w:spacing w:line="440" w:lineRule="exact"/>
        <w:ind w:firstLine="600" w:firstLineChars="200"/>
        <w:rPr>
          <w:b/>
          <w:bCs/>
          <w:sz w:val="30"/>
          <w:szCs w:val="30"/>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embedRegular r:id="rId1" w:fontKey="{6D702787-9229-4070-A55E-0DAC01C4AC06}"/>
  </w:font>
  <w:font w:name="方正小标宋简体">
    <w:panose1 w:val="02000000000000000000"/>
    <w:charset w:val="86"/>
    <w:family w:val="auto"/>
    <w:pitch w:val="default"/>
    <w:sig w:usb0="00000001" w:usb1="080E0000" w:usb2="00000000" w:usb3="00000000" w:csb0="00040000" w:csb1="00000000"/>
    <w:embedRegular r:id="rId2" w:fontKey="{6A11E382-3C64-4A14-8411-AEF1262547BE}"/>
  </w:font>
  <w:font w:name="仿宋_GB2312">
    <w:panose1 w:val="02010609030101010101"/>
    <w:charset w:val="86"/>
    <w:family w:val="auto"/>
    <w:pitch w:val="default"/>
    <w:sig w:usb0="00000001" w:usb1="080E0000" w:usb2="00000000" w:usb3="00000000" w:csb0="00040000" w:csb1="00000000"/>
    <w:embedRegular r:id="rId3" w:fontKey="{13135FF6-35AA-4ECC-9C2A-3756817BAE4D}"/>
  </w:font>
  <w:font w:name="楷体">
    <w:panose1 w:val="02010609060101010101"/>
    <w:charset w:val="86"/>
    <w:family w:val="modern"/>
    <w:pitch w:val="default"/>
    <w:sig w:usb0="800002BF" w:usb1="38CF7CFA" w:usb2="00000016" w:usb3="00000000" w:csb0="00040001" w:csb1="00000000"/>
    <w:embedRegular r:id="rId4" w:fontKey="{7B19EA1F-EE2B-4CB5-B508-BDCCE9F48B45}"/>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1FD6"/>
    <w:rsid w:val="00045172"/>
    <w:rsid w:val="000A03EC"/>
    <w:rsid w:val="000B44AF"/>
    <w:rsid w:val="00102AE6"/>
    <w:rsid w:val="001B6171"/>
    <w:rsid w:val="001B75F9"/>
    <w:rsid w:val="001E01C2"/>
    <w:rsid w:val="001F1DB8"/>
    <w:rsid w:val="00223B01"/>
    <w:rsid w:val="00292979"/>
    <w:rsid w:val="002A5897"/>
    <w:rsid w:val="002D164C"/>
    <w:rsid w:val="002F2AA1"/>
    <w:rsid w:val="00315530"/>
    <w:rsid w:val="00344F47"/>
    <w:rsid w:val="003D2413"/>
    <w:rsid w:val="003F04DD"/>
    <w:rsid w:val="004242FF"/>
    <w:rsid w:val="00466CB3"/>
    <w:rsid w:val="004B7659"/>
    <w:rsid w:val="00510D5F"/>
    <w:rsid w:val="005422DF"/>
    <w:rsid w:val="00571FD6"/>
    <w:rsid w:val="005726B4"/>
    <w:rsid w:val="005B2248"/>
    <w:rsid w:val="006051FC"/>
    <w:rsid w:val="006361B5"/>
    <w:rsid w:val="006871D9"/>
    <w:rsid w:val="00694428"/>
    <w:rsid w:val="006B1775"/>
    <w:rsid w:val="006C5483"/>
    <w:rsid w:val="006E07D4"/>
    <w:rsid w:val="006E1E1B"/>
    <w:rsid w:val="006F3AC6"/>
    <w:rsid w:val="00702877"/>
    <w:rsid w:val="00720EE2"/>
    <w:rsid w:val="00784A75"/>
    <w:rsid w:val="007A4EAA"/>
    <w:rsid w:val="007C4005"/>
    <w:rsid w:val="007E34AA"/>
    <w:rsid w:val="007E64F9"/>
    <w:rsid w:val="00806055"/>
    <w:rsid w:val="00811ACD"/>
    <w:rsid w:val="008601E9"/>
    <w:rsid w:val="00865A16"/>
    <w:rsid w:val="00916F9E"/>
    <w:rsid w:val="0098014C"/>
    <w:rsid w:val="00985F83"/>
    <w:rsid w:val="009C402D"/>
    <w:rsid w:val="009E741A"/>
    <w:rsid w:val="00A725D1"/>
    <w:rsid w:val="00A86DAE"/>
    <w:rsid w:val="00A95F42"/>
    <w:rsid w:val="00B8454D"/>
    <w:rsid w:val="00BC5820"/>
    <w:rsid w:val="00C777E9"/>
    <w:rsid w:val="00C84192"/>
    <w:rsid w:val="00CB0B60"/>
    <w:rsid w:val="00D8566F"/>
    <w:rsid w:val="00DA6775"/>
    <w:rsid w:val="00DD5862"/>
    <w:rsid w:val="00DE73DD"/>
    <w:rsid w:val="00E25A98"/>
    <w:rsid w:val="00E8781C"/>
    <w:rsid w:val="00EA446A"/>
    <w:rsid w:val="00EB0012"/>
    <w:rsid w:val="00EC4506"/>
    <w:rsid w:val="00EF5950"/>
    <w:rsid w:val="00F02E51"/>
    <w:rsid w:val="00F72562"/>
    <w:rsid w:val="00FD7FF1"/>
    <w:rsid w:val="00FE3A1E"/>
    <w:rsid w:val="00FE5B40"/>
    <w:rsid w:val="00FF074F"/>
    <w:rsid w:val="01431638"/>
    <w:rsid w:val="0D2D732A"/>
    <w:rsid w:val="17180ED0"/>
    <w:rsid w:val="18BE1B9D"/>
    <w:rsid w:val="1B2E63F5"/>
    <w:rsid w:val="1E4F15D7"/>
    <w:rsid w:val="1F1E787E"/>
    <w:rsid w:val="2A3645E4"/>
    <w:rsid w:val="3A7662C1"/>
    <w:rsid w:val="455236D9"/>
    <w:rsid w:val="4667066F"/>
    <w:rsid w:val="47775577"/>
    <w:rsid w:val="51DA6E2E"/>
    <w:rsid w:val="58F96D8E"/>
    <w:rsid w:val="59C53CAF"/>
    <w:rsid w:val="7F5008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unhideWhenUsed/>
    <w:qFormat/>
    <w:uiPriority w:val="99"/>
    <w:pPr>
      <w:jc w:val="left"/>
    </w:pPr>
  </w:style>
  <w:style w:type="paragraph" w:styleId="3">
    <w:name w:val="Balloon Text"/>
    <w:basedOn w:val="1"/>
    <w:link w:val="12"/>
    <w:semiHidden/>
    <w:unhideWhenUsed/>
    <w:qFormat/>
    <w:uiPriority w:val="99"/>
    <w:rPr>
      <w:sz w:val="18"/>
      <w:szCs w:val="18"/>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页眉 字符"/>
    <w:basedOn w:val="8"/>
    <w:link w:val="5"/>
    <w:qFormat/>
    <w:uiPriority w:val="99"/>
    <w:rPr>
      <w:sz w:val="18"/>
      <w:szCs w:val="18"/>
    </w:rPr>
  </w:style>
  <w:style w:type="character" w:customStyle="1" w:styleId="10">
    <w:name w:val="页脚 字符"/>
    <w:basedOn w:val="8"/>
    <w:link w:val="4"/>
    <w:qFormat/>
    <w:uiPriority w:val="99"/>
    <w:rPr>
      <w:sz w:val="18"/>
      <w:szCs w:val="18"/>
    </w:rPr>
  </w:style>
  <w:style w:type="paragraph" w:styleId="11">
    <w:name w:val="List Paragraph"/>
    <w:basedOn w:val="1"/>
    <w:qFormat/>
    <w:uiPriority w:val="34"/>
    <w:pPr>
      <w:ind w:firstLine="420" w:firstLineChars="200"/>
    </w:pPr>
  </w:style>
  <w:style w:type="character" w:customStyle="1" w:styleId="12">
    <w:name w:val="批注框文本 字符"/>
    <w:basedOn w:val="8"/>
    <w:link w:val="3"/>
    <w:semiHidden/>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LPHT</Company>
  <Pages>4</Pages>
  <Words>1454</Words>
  <Characters>1468</Characters>
  <Lines>9</Lines>
  <Paragraphs>2</Paragraphs>
  <TotalTime>51</TotalTime>
  <ScaleCrop>false</ScaleCrop>
  <LinksUpToDate>false</LinksUpToDate>
  <CharactersWithSpaces>2192</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2021-10-24T13:01:00Z</dcterms:created>
  <dc:creator>LPHT</dc:creator>
  <cp:lastModifiedBy>邓宏中</cp:lastModifiedBy>
  <cp:lastPrinted>2026-03-03T02:19:07Z</cp:lastPrinted>
  <dcterms:modified xsi:type="dcterms:W3CDTF">2026-03-03T02:52:21Z</dcterms:modified>
  <cp:revision>63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eyJoZGlkIjoiZWUxYjk1ZTE3NDU5YTJmMjNjZTMxMjUxMzZlMzdiZmMiLCJ1c2VySWQiOiIxNjY3MDk4OTg2In0=</vt:lpwstr>
  </property>
  <property fmtid="{D5CDD505-2E9C-101B-9397-08002B2CF9AE}" pid="3" name="KSOProductBuildVer">
    <vt:lpwstr>2052-12.1.0.23542</vt:lpwstr>
  </property>
  <property fmtid="{D5CDD505-2E9C-101B-9397-08002B2CF9AE}" pid="4" name="ICV">
    <vt:lpwstr>86D6CC0DD1AB40A489B780C463E462D6_12</vt:lpwstr>
  </property>
</Properties>
</file>